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787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549"/>
        <w:gridCol w:w="2016"/>
        <w:gridCol w:w="2116"/>
        <w:gridCol w:w="838"/>
        <w:gridCol w:w="795"/>
        <w:gridCol w:w="593"/>
        <w:gridCol w:w="25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4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学生资助-研究生学业奖学金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5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齐勇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7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010-61209454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1,342.800000 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1,197.000000 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1,197.000000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1,342.800000 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1,197.000000 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1,197.000000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3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"预计2023年博士研究生132.8万元，硕士研究生1210万元。 预计2023年9月开始进行项目评审工作、11月将研究生学业奖学金发给获奖学生。 总成本不突破1342.8万元。</w:t>
            </w:r>
          </w:p>
        </w:tc>
        <w:tc>
          <w:tcPr>
            <w:tcW w:w="68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促进研究生培养机制，提高研究生培养质量，激励研究生勤奋学习、潜心科研、勇于创新、积极进取。11月将研究生学业奖学金发给获奖学生,更好地支持研究生顺利完成学业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 w:colFirst="7" w:colLast="7"/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2023年参评硕士生博士生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3191人数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博士生152人，硕士生1925人，共计2077人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12.00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偏差原因：预算时要求使用的是2022年9月的在校生数据，2023年新生入学后参评博士生硕士生人数预计有变化；措施：关注学校情况变化，合理预计目标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激励研究生更好地完成学业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能够激励研究生更好地完成学业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15.00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11月发放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定性11月前发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2023年9月开始评审，2023年11月奖学金发放完成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≤1342.8万元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总成本1197万元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促进学习积极性提高学生素质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奖学金的发放能够促进学习积极性提高学生素质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5.00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原因：指标无法衡量；措施：明确细化绩效目标，增加目标的可衡量性，提高绩效成果的总结水平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5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可达到95%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02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88.00 </w:t>
            </w:r>
          </w:p>
        </w:tc>
        <w:tc>
          <w:tcPr>
            <w:tcW w:w="3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2701DE"/>
    <w:rsid w:val="00856BE9"/>
    <w:rsid w:val="00F66CE9"/>
    <w:rsid w:val="63EA051B"/>
    <w:rsid w:val="77FE204C"/>
    <w:rsid w:val="7D4E075C"/>
    <w:rsid w:val="FE6D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694</Words>
  <Characters>887</Characters>
  <Lines>7</Lines>
  <Paragraphs>2</Paragraphs>
  <TotalTime>3</TotalTime>
  <ScaleCrop>false</ScaleCrop>
  <LinksUpToDate>false</LinksUpToDate>
  <CharactersWithSpaces>916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2024-05-23T04:23:23Z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